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949C4" w14:textId="497F84C8" w:rsidR="00116B51" w:rsidRPr="00DA12F7" w:rsidRDefault="00116B51" w:rsidP="00116B51">
      <w:pPr>
        <w:tabs>
          <w:tab w:val="right" w:pos="9630"/>
        </w:tabs>
        <w:spacing w:after="0"/>
      </w:pPr>
      <w:r w:rsidRPr="00DA12F7">
        <w:rPr>
          <w:rFonts w:ascii="Arial" w:hAnsi="Arial" w:cs="Arial"/>
          <w:b/>
          <w:sz w:val="24"/>
        </w:rPr>
        <w:t>3GPP TSG RAN WG1 #</w:t>
      </w:r>
      <w:r w:rsidR="004A7390">
        <w:rPr>
          <w:rFonts w:ascii="Arial" w:hAnsi="Arial" w:cs="Arial"/>
          <w:b/>
          <w:sz w:val="24"/>
        </w:rPr>
        <w:t>88</w:t>
      </w:r>
      <w:r w:rsidR="007B3D17">
        <w:rPr>
          <w:rFonts w:ascii="Arial" w:hAnsi="Arial" w:cs="Arial"/>
          <w:b/>
          <w:sz w:val="24"/>
        </w:rPr>
        <w:t>bis</w:t>
      </w:r>
      <w:r w:rsidRPr="00DA12F7">
        <w:rPr>
          <w:rFonts w:ascii="Arial" w:hAnsi="Arial" w:cs="Arial"/>
          <w:b/>
          <w:sz w:val="24"/>
        </w:rPr>
        <w:tab/>
        <w:t>R1-</w:t>
      </w:r>
      <w:r w:rsidR="004A7390">
        <w:rPr>
          <w:rFonts w:ascii="Arial" w:hAnsi="Arial" w:cs="Arial"/>
          <w:b/>
          <w:sz w:val="24"/>
        </w:rPr>
        <w:t>17</w:t>
      </w:r>
      <w:r w:rsidR="00554B3D">
        <w:rPr>
          <w:rFonts w:ascii="Arial" w:hAnsi="Arial" w:cs="Arial"/>
          <w:b/>
          <w:sz w:val="24"/>
        </w:rPr>
        <w:t>0</w:t>
      </w:r>
      <w:r w:rsidR="004132DA">
        <w:rPr>
          <w:rFonts w:ascii="Arial" w:hAnsi="Arial" w:cs="Arial"/>
          <w:b/>
          <w:sz w:val="24"/>
        </w:rPr>
        <w:t>5606</w:t>
      </w:r>
    </w:p>
    <w:p w14:paraId="50FFBAF8" w14:textId="7A76BA0A" w:rsidR="00116B51" w:rsidRPr="00DA12F7" w:rsidRDefault="007B3D17" w:rsidP="00116B51">
      <w:pPr>
        <w:tabs>
          <w:tab w:val="right" w:pos="9630"/>
        </w:tabs>
        <w:spacing w:after="0"/>
        <w:rPr>
          <w:rFonts w:ascii="Arial" w:hAnsi="Arial" w:cs="Arial"/>
          <w:b/>
          <w:sz w:val="24"/>
          <w:szCs w:val="24"/>
        </w:rPr>
      </w:pPr>
      <w:r>
        <w:rPr>
          <w:rFonts w:ascii="Arial" w:hAnsi="Arial" w:cs="Arial"/>
          <w:b/>
          <w:sz w:val="24"/>
          <w:szCs w:val="24"/>
        </w:rPr>
        <w:t>April</w:t>
      </w:r>
      <w:r w:rsidR="00116B51">
        <w:rPr>
          <w:rFonts w:ascii="Arial" w:hAnsi="Arial" w:cs="Arial"/>
          <w:b/>
          <w:sz w:val="24"/>
          <w:szCs w:val="24"/>
        </w:rPr>
        <w:t xml:space="preserve"> </w:t>
      </w:r>
      <w:r w:rsidR="004A7390">
        <w:rPr>
          <w:rFonts w:ascii="Arial" w:hAnsi="Arial" w:cs="Arial"/>
          <w:b/>
          <w:sz w:val="24"/>
          <w:szCs w:val="24"/>
        </w:rPr>
        <w:t>3</w:t>
      </w:r>
      <w:r>
        <w:rPr>
          <w:rFonts w:ascii="Arial" w:hAnsi="Arial" w:cs="Arial"/>
          <w:b/>
          <w:sz w:val="24"/>
          <w:szCs w:val="24"/>
          <w:vertAlign w:val="superscript"/>
        </w:rPr>
        <w:t>rd</w:t>
      </w:r>
      <w:r>
        <w:rPr>
          <w:rFonts w:ascii="Arial" w:hAnsi="Arial" w:cs="Arial"/>
          <w:b/>
          <w:sz w:val="24"/>
          <w:szCs w:val="24"/>
        </w:rPr>
        <w:t xml:space="preserve"> – </w:t>
      </w:r>
      <w:r w:rsidR="004A7390">
        <w:rPr>
          <w:rFonts w:ascii="Arial" w:hAnsi="Arial" w:cs="Arial"/>
          <w:b/>
          <w:sz w:val="24"/>
          <w:szCs w:val="24"/>
        </w:rPr>
        <w:t>7</w:t>
      </w:r>
      <w:r w:rsidR="00116B51" w:rsidRPr="00DA12F7">
        <w:rPr>
          <w:rFonts w:ascii="Arial" w:hAnsi="Arial" w:cs="Arial"/>
          <w:b/>
          <w:sz w:val="24"/>
          <w:szCs w:val="24"/>
          <w:vertAlign w:val="superscript"/>
        </w:rPr>
        <w:t>th</w:t>
      </w:r>
      <w:r w:rsidR="00116B51" w:rsidRPr="00DA12F7">
        <w:rPr>
          <w:rFonts w:ascii="Arial" w:hAnsi="Arial" w:cs="Arial"/>
          <w:b/>
          <w:sz w:val="24"/>
          <w:szCs w:val="24"/>
        </w:rPr>
        <w:t>, 201</w:t>
      </w:r>
      <w:r w:rsidR="004A7390">
        <w:rPr>
          <w:rFonts w:ascii="Arial" w:hAnsi="Arial" w:cs="Arial"/>
          <w:b/>
          <w:sz w:val="24"/>
          <w:szCs w:val="24"/>
        </w:rPr>
        <w:t>7</w:t>
      </w:r>
    </w:p>
    <w:p w14:paraId="7DB4A2F8" w14:textId="47A6A1F1" w:rsidR="00116B51" w:rsidRPr="00DA12F7" w:rsidRDefault="007B3D17" w:rsidP="00116B51">
      <w:pPr>
        <w:rPr>
          <w:rFonts w:ascii="Arial" w:hAnsi="Arial" w:cs="Arial"/>
          <w:b/>
          <w:sz w:val="24"/>
          <w:szCs w:val="24"/>
        </w:rPr>
      </w:pPr>
      <w:r>
        <w:rPr>
          <w:rFonts w:ascii="Arial" w:hAnsi="Arial" w:cs="Arial"/>
          <w:b/>
          <w:sz w:val="24"/>
          <w:szCs w:val="24"/>
        </w:rPr>
        <w:t>Spokane</w:t>
      </w:r>
      <w:r w:rsidR="00116B51">
        <w:rPr>
          <w:rFonts w:ascii="Arial" w:hAnsi="Arial" w:cs="Arial"/>
          <w:b/>
          <w:sz w:val="24"/>
          <w:szCs w:val="24"/>
        </w:rPr>
        <w:t xml:space="preserve">, </w:t>
      </w:r>
      <w:r>
        <w:rPr>
          <w:rFonts w:ascii="Arial" w:hAnsi="Arial" w:cs="Arial"/>
          <w:b/>
          <w:sz w:val="24"/>
          <w:szCs w:val="24"/>
        </w:rPr>
        <w:t>USA</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0C9C3E7C"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FF4FC8">
        <w:rPr>
          <w:rFonts w:ascii="Arial" w:hAnsi="Arial"/>
          <w:sz w:val="24"/>
        </w:rPr>
        <w:t>8.1.3.1.</w:t>
      </w:r>
      <w:r w:rsidR="00ED4319">
        <w:rPr>
          <w:rFonts w:ascii="Arial" w:hAnsi="Arial"/>
          <w:sz w:val="24"/>
        </w:rPr>
        <w:t>4</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6C0AD792"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5D47FA" w:rsidRPr="005D47FA">
        <w:rPr>
          <w:rFonts w:ascii="Arial" w:hAnsi="Arial"/>
          <w:sz w:val="24"/>
        </w:rPr>
        <w:t>PDCCH control resource set and search space</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05E4C1B9" w:rsidR="00491EEE" w:rsidRDefault="00FD6A3D" w:rsidP="00491EEE">
      <w:pPr>
        <w:pStyle w:val="Heading1"/>
      </w:pPr>
      <w:r w:rsidRPr="00CC27F5">
        <w:t>1</w:t>
      </w:r>
      <w:r w:rsidRPr="00CC27F5">
        <w:tab/>
      </w:r>
      <w:r w:rsidR="00B209B5" w:rsidRPr="00CC27F5">
        <w:t>Introduction</w:t>
      </w:r>
    </w:p>
    <w:p w14:paraId="43777FC2" w14:textId="51602B97" w:rsidR="008A41D1" w:rsidRPr="00024420" w:rsidRDefault="00916DBA" w:rsidP="005D47FA">
      <w:pPr>
        <w:rPr>
          <w:lang w:val="en-GB"/>
        </w:rPr>
      </w:pPr>
      <w:r>
        <w:rPr>
          <w:lang w:val="en-GB"/>
        </w:rPr>
        <w:t xml:space="preserve">In RAN1 </w:t>
      </w:r>
      <w:r w:rsidR="00024420">
        <w:rPr>
          <w:lang w:val="en-GB"/>
        </w:rPr>
        <w:t>#88</w:t>
      </w:r>
      <w:r>
        <w:rPr>
          <w:lang w:val="en-GB"/>
        </w:rPr>
        <w:t>, the following agreements have been reach</w:t>
      </w:r>
      <w:r w:rsidR="00024420">
        <w:rPr>
          <w:lang w:val="en-GB"/>
        </w:rPr>
        <w:t xml:space="preserve">ed for NR control resource set and </w:t>
      </w:r>
      <w:r>
        <w:rPr>
          <w:lang w:val="en-GB"/>
        </w:rPr>
        <w:t>control search space.</w:t>
      </w:r>
    </w:p>
    <w:p w14:paraId="7CB68490" w14:textId="77777777" w:rsidR="00971086" w:rsidRPr="00971086" w:rsidRDefault="00971086" w:rsidP="00971086">
      <w:pPr>
        <w:rPr>
          <w:rFonts w:eastAsia="MS Mincho"/>
          <w:b/>
          <w:lang w:eastAsia="ja-JP"/>
        </w:rPr>
      </w:pPr>
      <w:r w:rsidRPr="00971086">
        <w:rPr>
          <w:rFonts w:eastAsia="MS Mincho"/>
          <w:b/>
          <w:highlight w:val="green"/>
          <w:lang w:eastAsia="ja-JP"/>
        </w:rPr>
        <w:t>Agreements</w:t>
      </w:r>
      <w:r w:rsidRPr="00971086">
        <w:rPr>
          <w:rFonts w:eastAsia="MS Mincho"/>
          <w:b/>
          <w:lang w:eastAsia="ja-JP"/>
        </w:rPr>
        <w:t>:</w:t>
      </w:r>
    </w:p>
    <w:p w14:paraId="010895DB" w14:textId="77777777" w:rsidR="00971086" w:rsidRPr="00971086" w:rsidRDefault="00971086" w:rsidP="00971086">
      <w:pPr>
        <w:pStyle w:val="ListParagraph"/>
        <w:numPr>
          <w:ilvl w:val="0"/>
          <w:numId w:val="45"/>
        </w:numPr>
        <w:spacing w:after="200" w:line="276" w:lineRule="auto"/>
        <w:rPr>
          <w:sz w:val="20"/>
          <w:szCs w:val="20"/>
        </w:rPr>
      </w:pPr>
      <w:r w:rsidRPr="00971086">
        <w:rPr>
          <w:sz w:val="20"/>
          <w:szCs w:val="20"/>
        </w:rPr>
        <w:t>NR-PDCCH can be mapped contiguously or non-contiguously in frequency</w:t>
      </w:r>
    </w:p>
    <w:p w14:paraId="4169AAAE" w14:textId="77777777" w:rsidR="00971086" w:rsidRPr="00971086" w:rsidRDefault="00971086" w:rsidP="00971086">
      <w:pPr>
        <w:pStyle w:val="ListParagraph"/>
        <w:numPr>
          <w:ilvl w:val="0"/>
          <w:numId w:val="45"/>
        </w:numPr>
        <w:spacing w:after="200" w:line="276" w:lineRule="auto"/>
        <w:rPr>
          <w:sz w:val="20"/>
          <w:szCs w:val="20"/>
        </w:rPr>
      </w:pPr>
      <w:r w:rsidRPr="00971086">
        <w:rPr>
          <w:sz w:val="20"/>
          <w:szCs w:val="20"/>
        </w:rPr>
        <w:t>The following may be considered to achieve the above (in the physical domain)</w:t>
      </w:r>
    </w:p>
    <w:p w14:paraId="0DC5B0ED" w14:textId="77777777" w:rsidR="00971086" w:rsidRPr="00971086" w:rsidRDefault="00971086" w:rsidP="00971086">
      <w:pPr>
        <w:pStyle w:val="ListParagraph"/>
        <w:numPr>
          <w:ilvl w:val="1"/>
          <w:numId w:val="45"/>
        </w:numPr>
        <w:spacing w:after="200" w:line="276" w:lineRule="auto"/>
        <w:rPr>
          <w:sz w:val="20"/>
          <w:szCs w:val="20"/>
        </w:rPr>
      </w:pPr>
      <w:r w:rsidRPr="00971086">
        <w:rPr>
          <w:sz w:val="20"/>
          <w:szCs w:val="20"/>
        </w:rPr>
        <w:t xml:space="preserve">Option 1: Localized or distributed mapping of REGs to a CCE. </w:t>
      </w:r>
    </w:p>
    <w:p w14:paraId="74213F9F" w14:textId="77777777" w:rsidR="00971086" w:rsidRPr="00971086" w:rsidRDefault="00971086" w:rsidP="00971086">
      <w:pPr>
        <w:pStyle w:val="ListParagraph"/>
        <w:numPr>
          <w:ilvl w:val="1"/>
          <w:numId w:val="45"/>
        </w:numPr>
        <w:spacing w:after="200" w:line="276" w:lineRule="auto"/>
        <w:rPr>
          <w:sz w:val="20"/>
          <w:szCs w:val="20"/>
        </w:rPr>
      </w:pPr>
      <w:r w:rsidRPr="00971086">
        <w:rPr>
          <w:sz w:val="20"/>
          <w:szCs w:val="20"/>
        </w:rPr>
        <w:t>Option 2: Localized mapping of REGs to a CCE. Localized or distributed mapping of CCEs when multiple CCEs are needed for an NR-PDCCH</w:t>
      </w:r>
    </w:p>
    <w:p w14:paraId="3A92BA90" w14:textId="77777777" w:rsidR="00971086" w:rsidRPr="00971086" w:rsidRDefault="00971086" w:rsidP="00971086">
      <w:pPr>
        <w:pStyle w:val="ListParagraph"/>
        <w:numPr>
          <w:ilvl w:val="1"/>
          <w:numId w:val="45"/>
        </w:numPr>
        <w:spacing w:after="200" w:line="276" w:lineRule="auto"/>
        <w:rPr>
          <w:sz w:val="20"/>
          <w:szCs w:val="20"/>
        </w:rPr>
      </w:pPr>
      <w:r w:rsidRPr="00971086">
        <w:rPr>
          <w:sz w:val="20"/>
          <w:szCs w:val="20"/>
        </w:rPr>
        <w:t>Down-selection between Opt 1 and Opt 2 should be further discussed</w:t>
      </w:r>
    </w:p>
    <w:p w14:paraId="2A0BED45" w14:textId="77777777" w:rsidR="00971086" w:rsidRPr="00971086" w:rsidRDefault="00971086" w:rsidP="00971086">
      <w:pPr>
        <w:pStyle w:val="ListParagraph"/>
        <w:numPr>
          <w:ilvl w:val="2"/>
          <w:numId w:val="45"/>
        </w:numPr>
        <w:spacing w:after="200" w:line="276" w:lineRule="auto"/>
        <w:rPr>
          <w:sz w:val="20"/>
          <w:szCs w:val="20"/>
        </w:rPr>
      </w:pPr>
      <w:r w:rsidRPr="00971086">
        <w:rPr>
          <w:sz w:val="20"/>
          <w:szCs w:val="20"/>
        </w:rPr>
        <w:t>Companies are encouraged to perform evaluations considering aspects such as channel estimation, frequency diversity, impact of resource reuse for NR-PDSCH, etc., especially for one CCE case</w:t>
      </w:r>
    </w:p>
    <w:p w14:paraId="269A4A6F" w14:textId="77777777" w:rsidR="00971086" w:rsidRPr="00971086" w:rsidRDefault="00971086" w:rsidP="00971086">
      <w:pPr>
        <w:rPr>
          <w:rFonts w:eastAsia="MS Mincho"/>
          <w:b/>
          <w:lang w:eastAsia="ja-JP"/>
        </w:rPr>
      </w:pPr>
      <w:r w:rsidRPr="00971086">
        <w:rPr>
          <w:rFonts w:eastAsia="MS Mincho"/>
          <w:b/>
          <w:highlight w:val="green"/>
          <w:lang w:eastAsia="ja-JP"/>
        </w:rPr>
        <w:t>Agreements</w:t>
      </w:r>
      <w:r w:rsidRPr="00971086">
        <w:rPr>
          <w:rFonts w:eastAsia="MS Mincho"/>
          <w:b/>
          <w:lang w:eastAsia="ja-JP"/>
        </w:rPr>
        <w:t>:</w:t>
      </w:r>
    </w:p>
    <w:p w14:paraId="08263A0D" w14:textId="77777777" w:rsidR="00971086" w:rsidRPr="00971086" w:rsidRDefault="00971086" w:rsidP="00971086">
      <w:pPr>
        <w:pStyle w:val="ListParagraph"/>
        <w:numPr>
          <w:ilvl w:val="0"/>
          <w:numId w:val="36"/>
        </w:numPr>
        <w:spacing w:after="200" w:line="276" w:lineRule="auto"/>
        <w:rPr>
          <w:sz w:val="20"/>
          <w:szCs w:val="20"/>
        </w:rPr>
      </w:pPr>
      <w:r w:rsidRPr="00971086">
        <w:rPr>
          <w:sz w:val="20"/>
          <w:szCs w:val="20"/>
        </w:rPr>
        <w:t>FFS details of mapping of NR-PDCCH in time and frequency, considering the following options:</w:t>
      </w:r>
    </w:p>
    <w:p w14:paraId="3D8DC144" w14:textId="77777777" w:rsidR="00971086" w:rsidRPr="00971086" w:rsidRDefault="00971086" w:rsidP="00971086">
      <w:pPr>
        <w:pStyle w:val="ListParagraph"/>
        <w:numPr>
          <w:ilvl w:val="1"/>
          <w:numId w:val="36"/>
        </w:numPr>
        <w:spacing w:after="200" w:line="276" w:lineRule="auto"/>
        <w:rPr>
          <w:sz w:val="20"/>
          <w:szCs w:val="20"/>
        </w:rPr>
      </w:pPr>
      <w:r w:rsidRPr="00971086">
        <w:rPr>
          <w:sz w:val="20"/>
          <w:szCs w:val="20"/>
        </w:rPr>
        <w:t xml:space="preserve">Frequency first mapping of REGs to CCEs, frequency first mapping of CCEs to search space candidate </w:t>
      </w:r>
    </w:p>
    <w:p w14:paraId="023C1E8E" w14:textId="77777777" w:rsidR="00971086" w:rsidRPr="00971086" w:rsidRDefault="00971086" w:rsidP="00971086">
      <w:pPr>
        <w:pStyle w:val="ListParagraph"/>
        <w:numPr>
          <w:ilvl w:val="1"/>
          <w:numId w:val="36"/>
        </w:numPr>
        <w:spacing w:after="200" w:line="276" w:lineRule="auto"/>
        <w:rPr>
          <w:sz w:val="20"/>
          <w:szCs w:val="20"/>
        </w:rPr>
      </w:pPr>
      <w:r w:rsidRPr="00971086">
        <w:rPr>
          <w:sz w:val="20"/>
          <w:szCs w:val="20"/>
        </w:rPr>
        <w:t>Time first mapping of REGs to CCEs, time first mapping of CCEs to search space candidate</w:t>
      </w:r>
    </w:p>
    <w:p w14:paraId="576CE0B0" w14:textId="77777777" w:rsidR="00971086" w:rsidRPr="00971086" w:rsidRDefault="00971086" w:rsidP="00971086">
      <w:pPr>
        <w:pStyle w:val="ListParagraph"/>
        <w:numPr>
          <w:ilvl w:val="1"/>
          <w:numId w:val="36"/>
        </w:numPr>
        <w:spacing w:after="200" w:line="276" w:lineRule="auto"/>
        <w:rPr>
          <w:sz w:val="20"/>
          <w:szCs w:val="20"/>
        </w:rPr>
      </w:pPr>
      <w:r w:rsidRPr="00971086">
        <w:rPr>
          <w:sz w:val="20"/>
          <w:szCs w:val="20"/>
        </w:rPr>
        <w:t>Frequency first mapping of REGs to CCEs, time first mapping of CCEs to search space candidate</w:t>
      </w:r>
    </w:p>
    <w:p w14:paraId="06F49523" w14:textId="77777777" w:rsidR="00971086" w:rsidRPr="00971086" w:rsidRDefault="00971086" w:rsidP="00971086">
      <w:pPr>
        <w:pStyle w:val="ListParagraph"/>
        <w:numPr>
          <w:ilvl w:val="1"/>
          <w:numId w:val="36"/>
        </w:numPr>
        <w:spacing w:after="200" w:line="276" w:lineRule="auto"/>
        <w:rPr>
          <w:sz w:val="20"/>
          <w:szCs w:val="20"/>
        </w:rPr>
      </w:pPr>
      <w:r w:rsidRPr="00971086">
        <w:rPr>
          <w:sz w:val="20"/>
          <w:szCs w:val="20"/>
        </w:rPr>
        <w:t>Time first mapping of REGs to CCEs, frequency first mapping of CCEs to search space candidate</w:t>
      </w:r>
    </w:p>
    <w:p w14:paraId="700A17FC" w14:textId="77777777" w:rsidR="00971086" w:rsidRPr="00971086" w:rsidRDefault="00971086" w:rsidP="00971086">
      <w:pPr>
        <w:pStyle w:val="ListParagraph"/>
        <w:numPr>
          <w:ilvl w:val="1"/>
          <w:numId w:val="36"/>
        </w:numPr>
        <w:spacing w:after="200" w:line="276" w:lineRule="auto"/>
        <w:rPr>
          <w:sz w:val="20"/>
          <w:szCs w:val="20"/>
        </w:rPr>
      </w:pPr>
      <w:r w:rsidRPr="00971086">
        <w:rPr>
          <w:sz w:val="20"/>
          <w:szCs w:val="20"/>
        </w:rPr>
        <w:t>Down-selection should be discussed, including of the number of supported option(s)</w:t>
      </w:r>
    </w:p>
    <w:p w14:paraId="68B0D78D" w14:textId="77777777" w:rsidR="008A41D1" w:rsidRPr="008A41D1" w:rsidRDefault="008A41D1" w:rsidP="008A41D1">
      <w:pPr>
        <w:rPr>
          <w:rFonts w:eastAsia="MS Mincho"/>
          <w:b/>
          <w:lang w:eastAsia="ja-JP"/>
        </w:rPr>
      </w:pPr>
      <w:r w:rsidRPr="008A41D1">
        <w:rPr>
          <w:rFonts w:eastAsia="MS Mincho"/>
          <w:b/>
          <w:highlight w:val="green"/>
          <w:lang w:eastAsia="ja-JP"/>
        </w:rPr>
        <w:t>Agreements</w:t>
      </w:r>
      <w:r w:rsidRPr="008A41D1">
        <w:rPr>
          <w:rFonts w:eastAsia="MS Mincho"/>
          <w:b/>
          <w:lang w:eastAsia="ja-JP"/>
        </w:rPr>
        <w:t>:</w:t>
      </w:r>
    </w:p>
    <w:p w14:paraId="634A25B8" w14:textId="77777777" w:rsidR="008A41D1" w:rsidRPr="008A41D1" w:rsidRDefault="008A41D1" w:rsidP="008A41D1">
      <w:pPr>
        <w:pStyle w:val="ListParagraph"/>
        <w:numPr>
          <w:ilvl w:val="0"/>
          <w:numId w:val="43"/>
        </w:numPr>
        <w:spacing w:after="200" w:line="276" w:lineRule="auto"/>
        <w:rPr>
          <w:sz w:val="20"/>
          <w:szCs w:val="20"/>
        </w:rPr>
      </w:pPr>
      <w:r w:rsidRPr="008A41D1">
        <w:rPr>
          <w:sz w:val="20"/>
          <w:szCs w:val="20"/>
        </w:rPr>
        <w:t>Multiple control resource sets can be overlapped in frequency and time for a UE.</w:t>
      </w:r>
    </w:p>
    <w:p w14:paraId="2E95FA75" w14:textId="77777777" w:rsidR="008A41D1" w:rsidRPr="008A41D1" w:rsidRDefault="008A41D1" w:rsidP="008A41D1">
      <w:pPr>
        <w:pStyle w:val="ListParagraph"/>
        <w:numPr>
          <w:ilvl w:val="0"/>
          <w:numId w:val="43"/>
        </w:numPr>
        <w:spacing w:after="200" w:line="276" w:lineRule="auto"/>
        <w:rPr>
          <w:sz w:val="20"/>
          <w:szCs w:val="20"/>
        </w:rPr>
      </w:pPr>
      <w:r w:rsidRPr="008A41D1">
        <w:rPr>
          <w:sz w:val="20"/>
          <w:szCs w:val="20"/>
        </w:rPr>
        <w:t>A search space in NR is associated with a single control resource set</w:t>
      </w:r>
    </w:p>
    <w:p w14:paraId="4AB62296" w14:textId="77777777" w:rsidR="008A41D1" w:rsidRPr="008A41D1" w:rsidRDefault="008A41D1" w:rsidP="008A41D1">
      <w:pPr>
        <w:pStyle w:val="ListParagraph"/>
        <w:numPr>
          <w:ilvl w:val="1"/>
          <w:numId w:val="43"/>
        </w:numPr>
        <w:spacing w:after="200" w:line="276" w:lineRule="auto"/>
        <w:rPr>
          <w:sz w:val="20"/>
          <w:szCs w:val="20"/>
        </w:rPr>
      </w:pPr>
      <w:r w:rsidRPr="008A41D1">
        <w:rPr>
          <w:sz w:val="20"/>
          <w:szCs w:val="20"/>
        </w:rPr>
        <w:t>The search spaces in different control resources sets are defined independently.</w:t>
      </w:r>
    </w:p>
    <w:p w14:paraId="4859A44A" w14:textId="77777777" w:rsidR="008A41D1" w:rsidRPr="008A41D1" w:rsidRDefault="008A41D1" w:rsidP="008A41D1">
      <w:pPr>
        <w:pStyle w:val="ListParagraph"/>
        <w:numPr>
          <w:ilvl w:val="0"/>
          <w:numId w:val="43"/>
        </w:numPr>
        <w:spacing w:after="200" w:line="276" w:lineRule="auto"/>
        <w:rPr>
          <w:sz w:val="20"/>
          <w:szCs w:val="20"/>
        </w:rPr>
      </w:pPr>
      <w:r w:rsidRPr="008A41D1">
        <w:rPr>
          <w:sz w:val="20"/>
          <w:szCs w:val="20"/>
        </w:rPr>
        <w:t>The max number of BD candidates for a UE is defined independently of the number of control resource sets and the number of search spaces.</w:t>
      </w:r>
    </w:p>
    <w:p w14:paraId="320095E2" w14:textId="77777777" w:rsidR="008A41D1" w:rsidRPr="008A41D1" w:rsidRDefault="008A41D1" w:rsidP="008A41D1">
      <w:pPr>
        <w:rPr>
          <w:rFonts w:eastAsia="MS Mincho"/>
          <w:b/>
          <w:lang w:eastAsia="ja-JP"/>
        </w:rPr>
      </w:pPr>
      <w:r w:rsidRPr="008A41D1">
        <w:rPr>
          <w:rFonts w:eastAsia="MS Mincho"/>
          <w:b/>
          <w:highlight w:val="green"/>
          <w:lang w:eastAsia="ja-JP"/>
        </w:rPr>
        <w:t>Agreements</w:t>
      </w:r>
      <w:r w:rsidRPr="008A41D1">
        <w:rPr>
          <w:rFonts w:eastAsia="MS Mincho"/>
          <w:b/>
          <w:lang w:eastAsia="ja-JP"/>
        </w:rPr>
        <w:t>:</w:t>
      </w:r>
    </w:p>
    <w:p w14:paraId="5B82C143" w14:textId="77777777" w:rsidR="008A41D1" w:rsidRPr="00995E87" w:rsidRDefault="008A41D1" w:rsidP="008A41D1">
      <w:pPr>
        <w:numPr>
          <w:ilvl w:val="0"/>
          <w:numId w:val="44"/>
        </w:numPr>
        <w:overflowPunct/>
        <w:autoSpaceDE/>
        <w:autoSpaceDN/>
        <w:adjustRightInd/>
        <w:spacing w:after="0"/>
        <w:textAlignment w:val="auto"/>
        <w:rPr>
          <w:rFonts w:eastAsia="MS Mincho"/>
          <w:lang w:eastAsia="ja-JP"/>
        </w:rPr>
      </w:pPr>
      <w:r w:rsidRPr="00995E87">
        <w:rPr>
          <w:rFonts w:eastAsia="MS Mincho"/>
          <w:lang w:eastAsia="ja-JP"/>
        </w:rPr>
        <w:t>Further study the following alternatives:</w:t>
      </w:r>
    </w:p>
    <w:p w14:paraId="423D1017" w14:textId="77777777" w:rsidR="008A41D1" w:rsidRPr="008A41D1" w:rsidRDefault="008A41D1" w:rsidP="008A41D1">
      <w:pPr>
        <w:pStyle w:val="ListParagraph"/>
        <w:numPr>
          <w:ilvl w:val="1"/>
          <w:numId w:val="44"/>
        </w:numPr>
        <w:spacing w:after="200" w:line="276" w:lineRule="auto"/>
        <w:rPr>
          <w:sz w:val="20"/>
          <w:szCs w:val="20"/>
        </w:rPr>
      </w:pPr>
      <w:r w:rsidRPr="008A41D1">
        <w:rPr>
          <w:sz w:val="20"/>
          <w:szCs w:val="20"/>
        </w:rPr>
        <w:t>Alt 1: For a given control resource set, there is only one CCE to REG mapping scheme</w:t>
      </w:r>
    </w:p>
    <w:p w14:paraId="3B9F19A6" w14:textId="77777777" w:rsidR="008A41D1" w:rsidRPr="008A41D1" w:rsidRDefault="008A41D1" w:rsidP="008A41D1">
      <w:pPr>
        <w:pStyle w:val="ListParagraph"/>
        <w:numPr>
          <w:ilvl w:val="1"/>
          <w:numId w:val="44"/>
        </w:numPr>
        <w:spacing w:after="200" w:line="276" w:lineRule="auto"/>
        <w:rPr>
          <w:sz w:val="20"/>
          <w:szCs w:val="20"/>
        </w:rPr>
      </w:pPr>
      <w:r w:rsidRPr="008A41D1">
        <w:rPr>
          <w:sz w:val="20"/>
          <w:szCs w:val="20"/>
        </w:rPr>
        <w:t>Alt 2: For a given search space, there is only one CCE to REG mapping scheme</w:t>
      </w:r>
    </w:p>
    <w:p w14:paraId="7035F811" w14:textId="7A0962C2" w:rsidR="00916DBA" w:rsidRPr="00916DBA" w:rsidRDefault="00916DBA" w:rsidP="005D47FA">
      <w:r>
        <w:t>In this paper, we further discuss the relationships between these concepts.</w:t>
      </w:r>
    </w:p>
    <w:p w14:paraId="488AD007" w14:textId="693E1B87" w:rsidR="00491EEE" w:rsidRDefault="00491EEE" w:rsidP="00F30894">
      <w:pPr>
        <w:pStyle w:val="Heading1"/>
        <w:jc w:val="both"/>
      </w:pPr>
      <w:r w:rsidRPr="00CC27F5">
        <w:lastRenderedPageBreak/>
        <w:t>2</w:t>
      </w:r>
      <w:r w:rsidRPr="00CC27F5">
        <w:tab/>
      </w:r>
      <w:r w:rsidR="004A7390">
        <w:t>Discussion</w:t>
      </w:r>
    </w:p>
    <w:p w14:paraId="12E5D30D" w14:textId="3D4B1098" w:rsidR="000E564D" w:rsidRDefault="00921851" w:rsidP="000E564D">
      <w:pPr>
        <w:rPr>
          <w:lang w:val="en-GB"/>
        </w:rPr>
      </w:pPr>
      <w:r w:rsidRPr="00921851">
        <w:rPr>
          <w:lang w:val="en-GB"/>
        </w:rPr>
        <w:t>A control resource set is defined as a set of REGs under a given numerology</w:t>
      </w:r>
      <w:r>
        <w:rPr>
          <w:lang w:val="en-GB"/>
        </w:rPr>
        <w:t>. At least one control resource set is indicated by the MIB, so that when UE acquires the NR channel, it knows where to monitor for the control channels. A UE can be redirected to other control resource sets. To distinguish these control resource sets, we will denote the control resource set indicated by the MIB as common control resource set, and the other control resource sets as UE specific control resource sets.</w:t>
      </w:r>
    </w:p>
    <w:p w14:paraId="03C867EC" w14:textId="708AC72E" w:rsidR="001218BF" w:rsidRDefault="001218BF" w:rsidP="000E564D">
      <w:pPr>
        <w:rPr>
          <w:lang w:val="en-GB"/>
        </w:rPr>
      </w:pPr>
      <w:r>
        <w:rPr>
          <w:lang w:val="en-GB"/>
        </w:rPr>
        <w:t xml:space="preserve">For each control resource set, a maximum time domain length </w:t>
      </w:r>
      <w:r w:rsidR="00884E90">
        <w:rPr>
          <w:lang w:val="en-GB"/>
        </w:rPr>
        <w:t xml:space="preserve">in the unit of number of OFDM symbols under nominal numerology </w:t>
      </w:r>
      <w:r>
        <w:rPr>
          <w:lang w:val="en-GB"/>
        </w:rPr>
        <w:t>needs to be specified.</w:t>
      </w:r>
      <w:r w:rsidR="00884E90">
        <w:rPr>
          <w:lang w:val="en-GB"/>
        </w:rPr>
        <w:t xml:space="preserve"> The length is a trade-off between control overhead and control channel capacity. As a trade-off, we propose to restrict the number of the OFDM symbols up to 2, subject to further OFDM symbol splitting.</w:t>
      </w:r>
    </w:p>
    <w:p w14:paraId="1E425029" w14:textId="636394BF" w:rsidR="001218BF" w:rsidRDefault="001218BF" w:rsidP="000E564D">
      <w:pPr>
        <w:rPr>
          <w:b/>
          <w:lang w:val="en-GB"/>
        </w:rPr>
      </w:pPr>
      <w:bookmarkStart w:id="2" w:name="p0"/>
      <w:r w:rsidRPr="00921851">
        <w:rPr>
          <w:b/>
          <w:lang w:val="en-GB"/>
        </w:rPr>
        <w:t xml:space="preserve">Proposal </w:t>
      </w:r>
      <w:r w:rsidRPr="00921851">
        <w:rPr>
          <w:b/>
          <w:lang w:val="en-GB"/>
        </w:rPr>
        <w:fldChar w:fldCharType="begin"/>
      </w:r>
      <w:r w:rsidRPr="00921851">
        <w:rPr>
          <w:b/>
          <w:lang w:val="en-GB"/>
        </w:rPr>
        <w:instrText xml:space="preserve"> seq prop </w:instrText>
      </w:r>
      <w:r w:rsidRPr="00921851">
        <w:rPr>
          <w:b/>
          <w:lang w:val="en-GB"/>
        </w:rPr>
        <w:fldChar w:fldCharType="separate"/>
      </w:r>
      <w:r w:rsidR="00884E90">
        <w:rPr>
          <w:b/>
          <w:noProof/>
          <w:lang w:val="en-GB"/>
        </w:rPr>
        <w:t>1</w:t>
      </w:r>
      <w:r w:rsidRPr="00921851">
        <w:rPr>
          <w:b/>
          <w:lang w:val="en-GB"/>
        </w:rPr>
        <w:fldChar w:fldCharType="end"/>
      </w:r>
      <w:r w:rsidRPr="00921851">
        <w:rPr>
          <w:b/>
          <w:lang w:val="en-GB"/>
        </w:rPr>
        <w:t xml:space="preserve">. </w:t>
      </w:r>
      <w:r>
        <w:rPr>
          <w:b/>
          <w:lang w:val="en-GB"/>
        </w:rPr>
        <w:t>The maximum length of a control resource set is limited to 2 OFDM symbols under the given numerology. OFDM symbol splitting can be applied.</w:t>
      </w:r>
    </w:p>
    <w:bookmarkEnd w:id="2"/>
    <w:p w14:paraId="33545E35" w14:textId="21CF06BD" w:rsidR="00921851" w:rsidRDefault="00101098" w:rsidP="000E564D">
      <w:pPr>
        <w:rPr>
          <w:lang w:val="en-GB"/>
        </w:rPr>
      </w:pPr>
      <w:r>
        <w:rPr>
          <w:lang w:val="en-GB"/>
        </w:rPr>
        <w:t>Within a control resource set, the control resource is defined in REG, CCE level, and search space can be further defined as a set of decoding candidates of different aggregation levels of CCEs. For common control resource set, we believe it should be possible to define both common search space and UE specific search space. For example, if the system bandwidth for a NR channel is not very wide, we may not want to define multiple control resource sets and can use one single control resource set, which will be the common control resource set. Then at least in this case, we will need to support both CSS and USS in the same common control resource set.</w:t>
      </w:r>
    </w:p>
    <w:p w14:paraId="54C67DEF" w14:textId="266404B3" w:rsidR="00101098" w:rsidRPr="00101098" w:rsidRDefault="00101098" w:rsidP="000E564D">
      <w:pPr>
        <w:rPr>
          <w:lang w:val="en-GB"/>
        </w:rPr>
      </w:pPr>
      <w:r>
        <w:rPr>
          <w:lang w:val="en-GB"/>
        </w:rPr>
        <w:t>On the other hand, when UE specific control resource set and multiple UEs are configured to monitor the same UE specific control resource set, it make</w:t>
      </w:r>
      <w:r w:rsidR="00020AC8">
        <w:rPr>
          <w:lang w:val="en-GB"/>
        </w:rPr>
        <w:t>s</w:t>
      </w:r>
      <w:r>
        <w:rPr>
          <w:lang w:val="en-GB"/>
        </w:rPr>
        <w:t xml:space="preserve"> sense to support a common search space in the resource set to allow sending broadcast grants to this set of UEs. </w:t>
      </w:r>
    </w:p>
    <w:p w14:paraId="4A1C5277" w14:textId="60D6977F" w:rsidR="00424EF7" w:rsidRPr="00424EF7" w:rsidRDefault="00424EF7" w:rsidP="000E564D">
      <w:pPr>
        <w:rPr>
          <w:lang w:val="en-GB"/>
        </w:rPr>
      </w:pPr>
      <w:r>
        <w:rPr>
          <w:lang w:val="en-GB"/>
        </w:rPr>
        <w:t>A UE can be configured to monitor one or more search spaces in one or more control resource sets. For USS, similar to LTE CA, it should be possible to configure the UE to monitor USS from multiple control resource set in one or more NR CC. However, for CSS, to save blind decoding complexity, there may not be need to monitor CSS from multiple control resource sets.</w:t>
      </w:r>
    </w:p>
    <w:p w14:paraId="15582871" w14:textId="200D4C81" w:rsidR="00424EF7" w:rsidRDefault="00424EF7" w:rsidP="00424EF7">
      <w:pPr>
        <w:rPr>
          <w:b/>
          <w:lang w:val="en-GB"/>
        </w:rPr>
      </w:pPr>
      <w:bookmarkStart w:id="3" w:name="p1"/>
      <w:r w:rsidRPr="00921851">
        <w:rPr>
          <w:b/>
          <w:lang w:val="en-GB"/>
        </w:rPr>
        <w:t xml:space="preserve">Proposal </w:t>
      </w:r>
      <w:r w:rsidRPr="00921851">
        <w:rPr>
          <w:b/>
          <w:lang w:val="en-GB"/>
        </w:rPr>
        <w:fldChar w:fldCharType="begin"/>
      </w:r>
      <w:r w:rsidRPr="00921851">
        <w:rPr>
          <w:b/>
          <w:lang w:val="en-GB"/>
        </w:rPr>
        <w:instrText xml:space="preserve"> seq prop </w:instrText>
      </w:r>
      <w:r w:rsidRPr="00921851">
        <w:rPr>
          <w:b/>
          <w:lang w:val="en-GB"/>
        </w:rPr>
        <w:fldChar w:fldCharType="separate"/>
      </w:r>
      <w:r w:rsidR="00884E90">
        <w:rPr>
          <w:b/>
          <w:noProof/>
          <w:lang w:val="en-GB"/>
        </w:rPr>
        <w:t>2</w:t>
      </w:r>
      <w:r w:rsidRPr="00921851">
        <w:rPr>
          <w:b/>
          <w:lang w:val="en-GB"/>
        </w:rPr>
        <w:fldChar w:fldCharType="end"/>
      </w:r>
      <w:r w:rsidRPr="00921851">
        <w:rPr>
          <w:b/>
          <w:lang w:val="en-GB"/>
        </w:rPr>
        <w:t xml:space="preserve">. </w:t>
      </w:r>
      <w:r>
        <w:rPr>
          <w:b/>
          <w:lang w:val="en-GB"/>
        </w:rPr>
        <w:t>From gNB perspective, a common control resource set supports</w:t>
      </w:r>
      <w:r w:rsidRPr="00921851">
        <w:rPr>
          <w:b/>
          <w:lang w:val="en-GB"/>
        </w:rPr>
        <w:t xml:space="preserve"> common search spa</w:t>
      </w:r>
      <w:r>
        <w:rPr>
          <w:b/>
          <w:lang w:val="en-GB"/>
        </w:rPr>
        <w:t>ce and UE specific search space.</w:t>
      </w:r>
    </w:p>
    <w:p w14:paraId="4B4B0EC5" w14:textId="691FD0C1" w:rsidR="00424EF7" w:rsidRDefault="00424EF7" w:rsidP="00424EF7">
      <w:pPr>
        <w:rPr>
          <w:b/>
          <w:lang w:val="en-GB"/>
        </w:rPr>
      </w:pPr>
      <w:bookmarkStart w:id="4" w:name="p2"/>
      <w:bookmarkEnd w:id="3"/>
      <w:r w:rsidRPr="00921851">
        <w:rPr>
          <w:b/>
          <w:lang w:val="en-GB"/>
        </w:rPr>
        <w:t xml:space="preserve">Proposal </w:t>
      </w:r>
      <w:r w:rsidRPr="00921851">
        <w:rPr>
          <w:b/>
          <w:lang w:val="en-GB"/>
        </w:rPr>
        <w:fldChar w:fldCharType="begin"/>
      </w:r>
      <w:r w:rsidRPr="00921851">
        <w:rPr>
          <w:b/>
          <w:lang w:val="en-GB"/>
        </w:rPr>
        <w:instrText xml:space="preserve"> seq prop </w:instrText>
      </w:r>
      <w:r w:rsidRPr="00921851">
        <w:rPr>
          <w:b/>
          <w:lang w:val="en-GB"/>
        </w:rPr>
        <w:fldChar w:fldCharType="separate"/>
      </w:r>
      <w:r w:rsidR="00884E90">
        <w:rPr>
          <w:b/>
          <w:noProof/>
          <w:lang w:val="en-GB"/>
        </w:rPr>
        <w:t>3</w:t>
      </w:r>
      <w:r w:rsidRPr="00921851">
        <w:rPr>
          <w:b/>
          <w:lang w:val="en-GB"/>
        </w:rPr>
        <w:fldChar w:fldCharType="end"/>
      </w:r>
      <w:r w:rsidRPr="00921851">
        <w:rPr>
          <w:b/>
          <w:lang w:val="en-GB"/>
        </w:rPr>
        <w:t xml:space="preserve">. </w:t>
      </w:r>
      <w:r>
        <w:rPr>
          <w:b/>
          <w:lang w:val="en-GB"/>
        </w:rPr>
        <w:t xml:space="preserve">From gNB perspective, a </w:t>
      </w:r>
      <w:r w:rsidRPr="00921851">
        <w:rPr>
          <w:b/>
          <w:lang w:val="en-GB"/>
        </w:rPr>
        <w:t>UE specific control resource set can also support common search space and UE specific search space.</w:t>
      </w:r>
    </w:p>
    <w:p w14:paraId="6365458E" w14:textId="66CF5926" w:rsidR="006E4AC9" w:rsidRDefault="006E4AC9" w:rsidP="006E4AC9">
      <w:pPr>
        <w:rPr>
          <w:b/>
          <w:lang w:val="en-GB"/>
        </w:rPr>
      </w:pPr>
      <w:bookmarkStart w:id="5" w:name="p3"/>
      <w:bookmarkEnd w:id="4"/>
      <w:r w:rsidRPr="00921851">
        <w:rPr>
          <w:b/>
          <w:lang w:val="en-GB"/>
        </w:rPr>
        <w:t xml:space="preserve">Proposal </w:t>
      </w:r>
      <w:r w:rsidRPr="00921851">
        <w:rPr>
          <w:b/>
          <w:lang w:val="en-GB"/>
        </w:rPr>
        <w:fldChar w:fldCharType="begin"/>
      </w:r>
      <w:r w:rsidRPr="00921851">
        <w:rPr>
          <w:b/>
          <w:lang w:val="en-GB"/>
        </w:rPr>
        <w:instrText xml:space="preserve"> seq prop </w:instrText>
      </w:r>
      <w:r w:rsidRPr="00921851">
        <w:rPr>
          <w:b/>
          <w:lang w:val="en-GB"/>
        </w:rPr>
        <w:fldChar w:fldCharType="separate"/>
      </w:r>
      <w:r w:rsidR="00884E90">
        <w:rPr>
          <w:b/>
          <w:noProof/>
          <w:lang w:val="en-GB"/>
        </w:rPr>
        <w:t>4</w:t>
      </w:r>
      <w:r w:rsidRPr="00921851">
        <w:rPr>
          <w:b/>
          <w:lang w:val="en-GB"/>
        </w:rPr>
        <w:fldChar w:fldCharType="end"/>
      </w:r>
      <w:r w:rsidRPr="00921851">
        <w:rPr>
          <w:b/>
          <w:lang w:val="en-GB"/>
        </w:rPr>
        <w:t xml:space="preserve">. </w:t>
      </w:r>
      <w:r>
        <w:rPr>
          <w:b/>
          <w:lang w:val="en-GB"/>
        </w:rPr>
        <w:t xml:space="preserve">UE </w:t>
      </w:r>
      <w:r w:rsidR="00424EF7">
        <w:rPr>
          <w:b/>
          <w:lang w:val="en-GB"/>
        </w:rPr>
        <w:t>can</w:t>
      </w:r>
      <w:r>
        <w:rPr>
          <w:b/>
          <w:lang w:val="en-GB"/>
        </w:rPr>
        <w:t xml:space="preserve"> be configur</w:t>
      </w:r>
      <w:r w:rsidR="00424EF7">
        <w:rPr>
          <w:b/>
          <w:lang w:val="en-GB"/>
        </w:rPr>
        <w:t>ed with one CSS and one or more USS in multiple control resource sets over one or more NR component carriers.</w:t>
      </w:r>
    </w:p>
    <w:bookmarkEnd w:id="5"/>
    <w:p w14:paraId="41C4C1DB" w14:textId="62FAE360" w:rsidR="00EF4398" w:rsidRDefault="00971086" w:rsidP="00D75D99">
      <w:r>
        <w:t xml:space="preserve">In RAN1 #88, multiple potential ways for CCE to REG mapping and PDCCH to CCE mapping are identified, including different combinations of time first and frequency first, and localized or distributed. The final set of combinations can be further down-selected, but we believe a few options will be available for different use cases. </w:t>
      </w:r>
      <w:r w:rsidR="008245B7">
        <w:t>In that case, for a coreset supporting multiple search spaces for different UEs, if different search spaces have different mapping, the collision probability between PDCCH with different mapping will be substantially higher than the collision probability when all search spaces are using the same mapping.</w:t>
      </w:r>
    </w:p>
    <w:p w14:paraId="4A2C5478" w14:textId="38BD3F4C" w:rsidR="00971086" w:rsidRDefault="00971086" w:rsidP="00971086">
      <w:pPr>
        <w:rPr>
          <w:b/>
          <w:lang w:val="en-GB"/>
        </w:rPr>
      </w:pPr>
      <w:bookmarkStart w:id="6" w:name="p4"/>
      <w:r w:rsidRPr="00921851">
        <w:rPr>
          <w:b/>
          <w:lang w:val="en-GB"/>
        </w:rPr>
        <w:t xml:space="preserve">Proposal </w:t>
      </w:r>
      <w:r w:rsidRPr="00921851">
        <w:rPr>
          <w:b/>
          <w:lang w:val="en-GB"/>
        </w:rPr>
        <w:fldChar w:fldCharType="begin"/>
      </w:r>
      <w:r w:rsidRPr="00921851">
        <w:rPr>
          <w:b/>
          <w:lang w:val="en-GB"/>
        </w:rPr>
        <w:instrText xml:space="preserve"> seq prop </w:instrText>
      </w:r>
      <w:r w:rsidRPr="00921851">
        <w:rPr>
          <w:b/>
          <w:lang w:val="en-GB"/>
        </w:rPr>
        <w:fldChar w:fldCharType="separate"/>
      </w:r>
      <w:r w:rsidR="00884E90">
        <w:rPr>
          <w:b/>
          <w:noProof/>
          <w:lang w:val="en-GB"/>
        </w:rPr>
        <w:t>5</w:t>
      </w:r>
      <w:r w:rsidRPr="00921851">
        <w:rPr>
          <w:b/>
          <w:lang w:val="en-GB"/>
        </w:rPr>
        <w:fldChar w:fldCharType="end"/>
      </w:r>
      <w:r w:rsidRPr="00921851">
        <w:rPr>
          <w:b/>
          <w:lang w:val="en-GB"/>
        </w:rPr>
        <w:t xml:space="preserve">. </w:t>
      </w:r>
      <w:r>
        <w:rPr>
          <w:b/>
          <w:lang w:val="en-GB"/>
        </w:rPr>
        <w:t xml:space="preserve">Within one coreset, one CCE to REG mapping </w:t>
      </w:r>
      <w:r w:rsidR="008245B7">
        <w:rPr>
          <w:b/>
          <w:lang w:val="en-GB"/>
        </w:rPr>
        <w:t>and one PDCCH to CCE mapping is</w:t>
      </w:r>
      <w:r>
        <w:rPr>
          <w:b/>
          <w:lang w:val="en-GB"/>
        </w:rPr>
        <w:t xml:space="preserve"> used.</w:t>
      </w:r>
    </w:p>
    <w:bookmarkEnd w:id="6"/>
    <w:p w14:paraId="2F77E7C7" w14:textId="4CAB8903" w:rsidR="00491EEE" w:rsidRDefault="004A7390" w:rsidP="00843B71">
      <w:pPr>
        <w:pStyle w:val="Heading1"/>
        <w:jc w:val="both"/>
      </w:pPr>
      <w:r>
        <w:t>3</w:t>
      </w:r>
      <w:r w:rsidR="00491EEE" w:rsidRPr="00E05A22">
        <w:tab/>
        <w:t xml:space="preserve">Conclusions </w:t>
      </w:r>
    </w:p>
    <w:p w14:paraId="6BB41CA4" w14:textId="75BE5DC4" w:rsidR="005F3154" w:rsidRDefault="005F3154" w:rsidP="005F3154">
      <w:pPr>
        <w:rPr>
          <w:lang w:val="en-GB"/>
        </w:rPr>
      </w:pPr>
      <w:r>
        <w:rPr>
          <w:lang w:val="en-GB"/>
        </w:rPr>
        <w:t>For control resource set and search space design, we have the following proposals:</w:t>
      </w:r>
    </w:p>
    <w:p w14:paraId="1B840560" w14:textId="32CEEF85" w:rsidR="00884E90" w:rsidRDefault="00884E90" w:rsidP="000E564D">
      <w:pPr>
        <w:rPr>
          <w:b/>
          <w:lang w:val="en-GB"/>
        </w:rPr>
      </w:pPr>
      <w:r>
        <w:rPr>
          <w:lang w:val="en-GB"/>
        </w:rPr>
        <w:fldChar w:fldCharType="begin"/>
      </w:r>
      <w:r>
        <w:rPr>
          <w:lang w:val="en-GB"/>
        </w:rPr>
        <w:instrText xml:space="preserve"> REF p0 \h </w:instrText>
      </w:r>
      <w:r>
        <w:rPr>
          <w:lang w:val="en-GB"/>
        </w:rPr>
      </w:r>
      <w:r>
        <w:rPr>
          <w:lang w:val="en-GB"/>
        </w:rPr>
        <w:fldChar w:fldCharType="separate"/>
      </w:r>
      <w:r w:rsidRPr="00921851">
        <w:rPr>
          <w:b/>
          <w:lang w:val="en-GB"/>
        </w:rPr>
        <w:t xml:space="preserve">Proposal </w:t>
      </w:r>
      <w:r>
        <w:rPr>
          <w:b/>
          <w:noProof/>
          <w:lang w:val="en-GB"/>
        </w:rPr>
        <w:t>1</w:t>
      </w:r>
      <w:r w:rsidRPr="00921851">
        <w:rPr>
          <w:b/>
          <w:lang w:val="en-GB"/>
        </w:rPr>
        <w:t xml:space="preserve">. </w:t>
      </w:r>
      <w:r>
        <w:rPr>
          <w:b/>
          <w:lang w:val="en-GB"/>
        </w:rPr>
        <w:t>The maximum length of a control resource set is limited to 2 OFDM symbols under the given numerology. OFDM symbol splitting can be applied.</w:t>
      </w:r>
      <w:bookmarkStart w:id="7" w:name="_GoBack"/>
      <w:bookmarkEnd w:id="7"/>
    </w:p>
    <w:p w14:paraId="736095F5" w14:textId="009709DB" w:rsidR="00884E90" w:rsidRDefault="00884E90" w:rsidP="00424EF7">
      <w:pPr>
        <w:rPr>
          <w:b/>
          <w:lang w:val="en-GB"/>
        </w:rPr>
      </w:pPr>
      <w:r>
        <w:rPr>
          <w:lang w:val="en-GB"/>
        </w:rPr>
        <w:fldChar w:fldCharType="end"/>
      </w:r>
      <w:r w:rsidR="00024420">
        <w:rPr>
          <w:lang w:val="en-GB"/>
        </w:rPr>
        <w:fldChar w:fldCharType="begin"/>
      </w:r>
      <w:r w:rsidR="00024420">
        <w:rPr>
          <w:lang w:val="en-GB"/>
        </w:rPr>
        <w:instrText xml:space="preserve"> REF p1 \h </w:instrText>
      </w:r>
      <w:r w:rsidR="00024420">
        <w:rPr>
          <w:lang w:val="en-GB"/>
        </w:rPr>
      </w:r>
      <w:r w:rsidR="00024420">
        <w:rPr>
          <w:lang w:val="en-GB"/>
        </w:rPr>
        <w:fldChar w:fldCharType="separate"/>
      </w:r>
      <w:r w:rsidRPr="00921851">
        <w:rPr>
          <w:b/>
          <w:lang w:val="en-GB"/>
        </w:rPr>
        <w:t xml:space="preserve">Proposal </w:t>
      </w:r>
      <w:r>
        <w:rPr>
          <w:b/>
          <w:noProof/>
          <w:lang w:val="en-GB"/>
        </w:rPr>
        <w:t>2</w:t>
      </w:r>
      <w:r w:rsidRPr="00921851">
        <w:rPr>
          <w:b/>
          <w:lang w:val="en-GB"/>
        </w:rPr>
        <w:t xml:space="preserve">. </w:t>
      </w:r>
      <w:r>
        <w:rPr>
          <w:b/>
          <w:lang w:val="en-GB"/>
        </w:rPr>
        <w:t>From gNB perspective, a common control resource set supports</w:t>
      </w:r>
      <w:r w:rsidRPr="00921851">
        <w:rPr>
          <w:b/>
          <w:lang w:val="en-GB"/>
        </w:rPr>
        <w:t xml:space="preserve"> common search spa</w:t>
      </w:r>
      <w:r>
        <w:rPr>
          <w:b/>
          <w:lang w:val="en-GB"/>
        </w:rPr>
        <w:t>ce and UE specific search space.</w:t>
      </w:r>
    </w:p>
    <w:p w14:paraId="75A173D4" w14:textId="77777777" w:rsidR="00884E90" w:rsidRDefault="00024420" w:rsidP="00424EF7">
      <w:pPr>
        <w:rPr>
          <w:b/>
          <w:lang w:val="en-GB"/>
        </w:rPr>
      </w:pPr>
      <w:r>
        <w:rPr>
          <w:lang w:val="en-GB"/>
        </w:rPr>
        <w:fldChar w:fldCharType="end"/>
      </w:r>
      <w:r>
        <w:rPr>
          <w:lang w:val="en-GB"/>
        </w:rPr>
        <w:fldChar w:fldCharType="begin"/>
      </w:r>
      <w:r>
        <w:rPr>
          <w:lang w:val="en-GB"/>
        </w:rPr>
        <w:instrText xml:space="preserve"> REF p2 \h </w:instrText>
      </w:r>
      <w:r>
        <w:rPr>
          <w:lang w:val="en-GB"/>
        </w:rPr>
      </w:r>
      <w:r>
        <w:rPr>
          <w:lang w:val="en-GB"/>
        </w:rPr>
        <w:fldChar w:fldCharType="separate"/>
      </w:r>
      <w:r w:rsidR="00884E90" w:rsidRPr="00921851">
        <w:rPr>
          <w:b/>
          <w:lang w:val="en-GB"/>
        </w:rPr>
        <w:t xml:space="preserve">Proposal </w:t>
      </w:r>
      <w:r w:rsidR="00884E90">
        <w:rPr>
          <w:b/>
          <w:noProof/>
          <w:lang w:val="en-GB"/>
        </w:rPr>
        <w:t>3</w:t>
      </w:r>
      <w:r w:rsidR="00884E90" w:rsidRPr="00921851">
        <w:rPr>
          <w:b/>
          <w:lang w:val="en-GB"/>
        </w:rPr>
        <w:t xml:space="preserve">. </w:t>
      </w:r>
      <w:r w:rsidR="00884E90">
        <w:rPr>
          <w:b/>
          <w:lang w:val="en-GB"/>
        </w:rPr>
        <w:t xml:space="preserve">From gNB perspective, a </w:t>
      </w:r>
      <w:r w:rsidR="00884E90" w:rsidRPr="00921851">
        <w:rPr>
          <w:b/>
          <w:lang w:val="en-GB"/>
        </w:rPr>
        <w:t>UE specific control resource set can also support common search space and UE specific search space.</w:t>
      </w:r>
    </w:p>
    <w:p w14:paraId="194C736E" w14:textId="77777777" w:rsidR="00884E90" w:rsidRDefault="00024420" w:rsidP="006E4AC9">
      <w:pPr>
        <w:rPr>
          <w:b/>
          <w:lang w:val="en-GB"/>
        </w:rPr>
      </w:pPr>
      <w:r>
        <w:rPr>
          <w:lang w:val="en-GB"/>
        </w:rPr>
        <w:fldChar w:fldCharType="end"/>
      </w:r>
      <w:r>
        <w:rPr>
          <w:lang w:val="en-GB"/>
        </w:rPr>
        <w:fldChar w:fldCharType="begin"/>
      </w:r>
      <w:r>
        <w:rPr>
          <w:lang w:val="en-GB"/>
        </w:rPr>
        <w:instrText xml:space="preserve"> REF p3 \h </w:instrText>
      </w:r>
      <w:r>
        <w:rPr>
          <w:lang w:val="en-GB"/>
        </w:rPr>
      </w:r>
      <w:r>
        <w:rPr>
          <w:lang w:val="en-GB"/>
        </w:rPr>
        <w:fldChar w:fldCharType="separate"/>
      </w:r>
      <w:r w:rsidR="00884E90" w:rsidRPr="00921851">
        <w:rPr>
          <w:b/>
          <w:lang w:val="en-GB"/>
        </w:rPr>
        <w:t xml:space="preserve">Proposal </w:t>
      </w:r>
      <w:r w:rsidR="00884E90">
        <w:rPr>
          <w:b/>
          <w:noProof/>
          <w:lang w:val="en-GB"/>
        </w:rPr>
        <w:t>4</w:t>
      </w:r>
      <w:r w:rsidR="00884E90" w:rsidRPr="00921851">
        <w:rPr>
          <w:b/>
          <w:lang w:val="en-GB"/>
        </w:rPr>
        <w:t xml:space="preserve">. </w:t>
      </w:r>
      <w:r w:rsidR="00884E90">
        <w:rPr>
          <w:b/>
          <w:lang w:val="en-GB"/>
        </w:rPr>
        <w:t>UE can be configured with one CSS and one or more USS in multiple control resource sets over one or more NR component carriers.</w:t>
      </w:r>
    </w:p>
    <w:p w14:paraId="525A4BCE" w14:textId="77777777" w:rsidR="00884E90" w:rsidRDefault="00024420" w:rsidP="00971086">
      <w:pPr>
        <w:rPr>
          <w:b/>
          <w:lang w:val="en-GB"/>
        </w:rPr>
      </w:pPr>
      <w:r>
        <w:rPr>
          <w:lang w:val="en-GB"/>
        </w:rPr>
        <w:fldChar w:fldCharType="end"/>
      </w:r>
      <w:r>
        <w:rPr>
          <w:lang w:val="en-GB"/>
        </w:rPr>
        <w:fldChar w:fldCharType="begin"/>
      </w:r>
      <w:r>
        <w:rPr>
          <w:lang w:val="en-GB"/>
        </w:rPr>
        <w:instrText xml:space="preserve"> REF p4 \h </w:instrText>
      </w:r>
      <w:r>
        <w:rPr>
          <w:lang w:val="en-GB"/>
        </w:rPr>
      </w:r>
      <w:r>
        <w:rPr>
          <w:lang w:val="en-GB"/>
        </w:rPr>
        <w:fldChar w:fldCharType="separate"/>
      </w:r>
      <w:r w:rsidR="00884E90" w:rsidRPr="00921851">
        <w:rPr>
          <w:b/>
          <w:lang w:val="en-GB"/>
        </w:rPr>
        <w:t xml:space="preserve">Proposal </w:t>
      </w:r>
      <w:r w:rsidR="00884E90">
        <w:rPr>
          <w:b/>
          <w:noProof/>
          <w:lang w:val="en-GB"/>
        </w:rPr>
        <w:t>5</w:t>
      </w:r>
      <w:r w:rsidR="00884E90" w:rsidRPr="00921851">
        <w:rPr>
          <w:b/>
          <w:lang w:val="en-GB"/>
        </w:rPr>
        <w:t xml:space="preserve">. </w:t>
      </w:r>
      <w:r w:rsidR="00884E90">
        <w:rPr>
          <w:b/>
          <w:lang w:val="en-GB"/>
        </w:rPr>
        <w:t>Within one coreset, one CCE to REG mapping and one PDCCH to CCE mapping is used.</w:t>
      </w:r>
    </w:p>
    <w:p w14:paraId="0117461B" w14:textId="21456255" w:rsidR="00C77113" w:rsidRPr="00526653" w:rsidRDefault="00024420" w:rsidP="008245B7">
      <w:pPr>
        <w:rPr>
          <w:lang w:val="en-GB"/>
        </w:rPr>
      </w:pPr>
      <w:r>
        <w:rPr>
          <w:lang w:val="en-GB"/>
        </w:rPr>
        <w:fldChar w:fldCharType="end"/>
      </w:r>
    </w:p>
    <w:sectPr w:rsidR="00C77113" w:rsidRPr="00526653"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09A260" w14:textId="77777777" w:rsidR="006F71EC" w:rsidRDefault="006F71EC">
      <w:r>
        <w:separator/>
      </w:r>
    </w:p>
  </w:endnote>
  <w:endnote w:type="continuationSeparator" w:id="0">
    <w:p w14:paraId="301CDED0" w14:textId="77777777" w:rsidR="006F71EC" w:rsidRDefault="006F71EC">
      <w:r>
        <w:continuationSeparator/>
      </w:r>
    </w:p>
  </w:endnote>
  <w:endnote w:type="continuationNotice" w:id="1">
    <w:p w14:paraId="3A20AED5" w14:textId="77777777" w:rsidR="006F71EC" w:rsidRDefault="006F71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23873" w14:textId="77777777" w:rsidR="006E4AC9" w:rsidRDefault="006E4AC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6E4AC9" w:rsidRDefault="006E4AC9"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9E23B" w14:textId="508EBCB0" w:rsidR="006E4AC9" w:rsidRDefault="006E4AC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D398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D3988">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9926CF" w14:textId="77777777" w:rsidR="006F71EC" w:rsidRDefault="006F71EC">
      <w:r>
        <w:separator/>
      </w:r>
    </w:p>
  </w:footnote>
  <w:footnote w:type="continuationSeparator" w:id="0">
    <w:p w14:paraId="548AB422" w14:textId="77777777" w:rsidR="006F71EC" w:rsidRDefault="006F71EC">
      <w:r>
        <w:continuationSeparator/>
      </w:r>
    </w:p>
  </w:footnote>
  <w:footnote w:type="continuationNotice" w:id="1">
    <w:p w14:paraId="2F309D63" w14:textId="77777777" w:rsidR="006F71EC" w:rsidRDefault="006F71E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188DA" w14:textId="77777777" w:rsidR="006E4AC9" w:rsidRDefault="006E4AC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74922CC"/>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24D13"/>
    <w:multiLevelType w:val="hybridMultilevel"/>
    <w:tmpl w:val="128E4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3F0817"/>
    <w:multiLevelType w:val="hybridMultilevel"/>
    <w:tmpl w:val="03EC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93E84"/>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201F47"/>
    <w:multiLevelType w:val="hybridMultilevel"/>
    <w:tmpl w:val="19D8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D3538"/>
    <w:multiLevelType w:val="hybridMultilevel"/>
    <w:tmpl w:val="10A6F5EA"/>
    <w:lvl w:ilvl="0" w:tplc="AFEA194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794BF4"/>
    <w:multiLevelType w:val="hybridMultilevel"/>
    <w:tmpl w:val="772EB728"/>
    <w:lvl w:ilvl="0" w:tplc="A8507C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EB2F2F"/>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E9C4592"/>
    <w:multiLevelType w:val="hybridMultilevel"/>
    <w:tmpl w:val="4B348EC8"/>
    <w:lvl w:ilvl="0" w:tplc="23305DD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DF7316"/>
    <w:multiLevelType w:val="hybridMultilevel"/>
    <w:tmpl w:val="D3AAC820"/>
    <w:lvl w:ilvl="0" w:tplc="385A245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AE6920"/>
    <w:multiLevelType w:val="hybridMultilevel"/>
    <w:tmpl w:val="94A27034"/>
    <w:lvl w:ilvl="0" w:tplc="D182E2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8C37E6"/>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F731E9"/>
    <w:multiLevelType w:val="hybridMultilevel"/>
    <w:tmpl w:val="F54CF9A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9" w15:restartNumberingAfterBreak="0">
    <w:nsid w:val="48C32E01"/>
    <w:multiLevelType w:val="hybridMultilevel"/>
    <w:tmpl w:val="2CBC7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8A57F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FF240FA"/>
    <w:multiLevelType w:val="hybridMultilevel"/>
    <w:tmpl w:val="ED047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6B118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2442E9"/>
    <w:multiLevelType w:val="hybridMultilevel"/>
    <w:tmpl w:val="5A8E6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5777F9"/>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94877F4"/>
    <w:multiLevelType w:val="hybridMultilevel"/>
    <w:tmpl w:val="3280CA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B620769"/>
    <w:multiLevelType w:val="hybridMultilevel"/>
    <w:tmpl w:val="CCDEF940"/>
    <w:lvl w:ilvl="0" w:tplc="4D2CF2E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1C2469"/>
    <w:multiLevelType w:val="hybridMultilevel"/>
    <w:tmpl w:val="1E527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2C4C67"/>
    <w:multiLevelType w:val="hybridMultilevel"/>
    <w:tmpl w:val="FC9EF5E2"/>
    <w:lvl w:ilvl="0" w:tplc="6B00516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57042C5"/>
    <w:multiLevelType w:val="hybridMultilevel"/>
    <w:tmpl w:val="68DC3EB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CC00CE"/>
    <w:multiLevelType w:val="hybridMultilevel"/>
    <w:tmpl w:val="560EE2CA"/>
    <w:lvl w:ilvl="0" w:tplc="07F23E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04144E"/>
    <w:multiLevelType w:val="hybridMultilevel"/>
    <w:tmpl w:val="3654BE4C"/>
    <w:lvl w:ilvl="0" w:tplc="F47011B8">
      <w:start w:val="1"/>
      <w:numFmt w:val="bullet"/>
      <w:lvlText w:val="–"/>
      <w:lvlJc w:val="left"/>
      <w:pPr>
        <w:tabs>
          <w:tab w:val="num" w:pos="360"/>
        </w:tabs>
        <w:ind w:left="360" w:hanging="360"/>
      </w:pPr>
      <w:rPr>
        <w:rFonts w:ascii="MS PGothic" w:hAnsi="MS PGothic" w:hint="default"/>
      </w:rPr>
    </w:lvl>
    <w:lvl w:ilvl="1" w:tplc="2B82804E">
      <w:start w:val="1"/>
      <w:numFmt w:val="bullet"/>
      <w:lvlText w:val="–"/>
      <w:lvlJc w:val="left"/>
      <w:pPr>
        <w:tabs>
          <w:tab w:val="num" w:pos="1080"/>
        </w:tabs>
        <w:ind w:left="1080" w:hanging="360"/>
      </w:pPr>
      <w:rPr>
        <w:rFonts w:ascii="MS PGothic" w:hAnsi="MS PGothic" w:hint="default"/>
      </w:rPr>
    </w:lvl>
    <w:lvl w:ilvl="2" w:tplc="A862473C">
      <w:start w:val="1934"/>
      <w:numFmt w:val="bullet"/>
      <w:lvlText w:val="•"/>
      <w:lvlJc w:val="left"/>
      <w:pPr>
        <w:tabs>
          <w:tab w:val="num" w:pos="1800"/>
        </w:tabs>
        <w:ind w:left="1800" w:hanging="360"/>
      </w:pPr>
      <w:rPr>
        <w:rFonts w:ascii="MS PGothic" w:hAnsi="MS PGothic" w:hint="default"/>
      </w:rPr>
    </w:lvl>
    <w:lvl w:ilvl="3" w:tplc="497CA8A6">
      <w:start w:val="1934"/>
      <w:numFmt w:val="bullet"/>
      <w:lvlText w:val="–"/>
      <w:lvlJc w:val="left"/>
      <w:pPr>
        <w:tabs>
          <w:tab w:val="num" w:pos="2520"/>
        </w:tabs>
        <w:ind w:left="2520" w:hanging="360"/>
      </w:pPr>
      <w:rPr>
        <w:rFonts w:ascii="MS PGothic" w:hAnsi="MS PGothic" w:hint="default"/>
      </w:rPr>
    </w:lvl>
    <w:lvl w:ilvl="4" w:tplc="5B5EAB26" w:tentative="1">
      <w:start w:val="1"/>
      <w:numFmt w:val="bullet"/>
      <w:lvlText w:val="–"/>
      <w:lvlJc w:val="left"/>
      <w:pPr>
        <w:tabs>
          <w:tab w:val="num" w:pos="3240"/>
        </w:tabs>
        <w:ind w:left="3240" w:hanging="360"/>
      </w:pPr>
      <w:rPr>
        <w:rFonts w:ascii="MS PGothic" w:hAnsi="MS PGothic" w:hint="default"/>
      </w:rPr>
    </w:lvl>
    <w:lvl w:ilvl="5" w:tplc="49F49692" w:tentative="1">
      <w:start w:val="1"/>
      <w:numFmt w:val="bullet"/>
      <w:lvlText w:val="–"/>
      <w:lvlJc w:val="left"/>
      <w:pPr>
        <w:tabs>
          <w:tab w:val="num" w:pos="3960"/>
        </w:tabs>
        <w:ind w:left="3960" w:hanging="360"/>
      </w:pPr>
      <w:rPr>
        <w:rFonts w:ascii="MS PGothic" w:hAnsi="MS PGothic" w:hint="default"/>
      </w:rPr>
    </w:lvl>
    <w:lvl w:ilvl="6" w:tplc="F040654E" w:tentative="1">
      <w:start w:val="1"/>
      <w:numFmt w:val="bullet"/>
      <w:lvlText w:val="–"/>
      <w:lvlJc w:val="left"/>
      <w:pPr>
        <w:tabs>
          <w:tab w:val="num" w:pos="4680"/>
        </w:tabs>
        <w:ind w:left="4680" w:hanging="360"/>
      </w:pPr>
      <w:rPr>
        <w:rFonts w:ascii="MS PGothic" w:hAnsi="MS PGothic" w:hint="default"/>
      </w:rPr>
    </w:lvl>
    <w:lvl w:ilvl="7" w:tplc="F4CA95F0" w:tentative="1">
      <w:start w:val="1"/>
      <w:numFmt w:val="bullet"/>
      <w:lvlText w:val="–"/>
      <w:lvlJc w:val="left"/>
      <w:pPr>
        <w:tabs>
          <w:tab w:val="num" w:pos="5400"/>
        </w:tabs>
        <w:ind w:left="5400" w:hanging="360"/>
      </w:pPr>
      <w:rPr>
        <w:rFonts w:ascii="MS PGothic" w:hAnsi="MS PGothic" w:hint="default"/>
      </w:rPr>
    </w:lvl>
    <w:lvl w:ilvl="8" w:tplc="B07E4078" w:tentative="1">
      <w:start w:val="1"/>
      <w:numFmt w:val="bullet"/>
      <w:lvlText w:val="–"/>
      <w:lvlJc w:val="left"/>
      <w:pPr>
        <w:tabs>
          <w:tab w:val="num" w:pos="6120"/>
        </w:tabs>
        <w:ind w:left="6120" w:hanging="360"/>
      </w:pPr>
      <w:rPr>
        <w:rFonts w:ascii="MS PGothic" w:hAnsi="MS PGothic" w:hint="default"/>
      </w:rPr>
    </w:lvl>
  </w:abstractNum>
  <w:num w:numId="1">
    <w:abstractNumId w:val="16"/>
  </w:num>
  <w:num w:numId="2">
    <w:abstractNumId w:val="3"/>
  </w:num>
  <w:num w:numId="3">
    <w:abstractNumId w:val="25"/>
  </w:num>
  <w:num w:numId="4">
    <w:abstractNumId w:val="2"/>
  </w:num>
  <w:num w:numId="5">
    <w:abstractNumId w:val="12"/>
  </w:num>
  <w:num w:numId="6">
    <w:abstractNumId w:val="42"/>
  </w:num>
  <w:num w:numId="7">
    <w:abstractNumId w:val="19"/>
  </w:num>
  <w:num w:numId="8">
    <w:abstractNumId w:val="22"/>
  </w:num>
  <w:num w:numId="9">
    <w:abstractNumId w:val="17"/>
  </w:num>
  <w:num w:numId="10">
    <w:abstractNumId w:val="34"/>
  </w:num>
  <w:num w:numId="11">
    <w:abstractNumId w:val="6"/>
  </w:num>
  <w:num w:numId="12">
    <w:abstractNumId w:val="13"/>
  </w:num>
  <w:num w:numId="13">
    <w:abstractNumId w:val="7"/>
  </w:num>
  <w:num w:numId="14">
    <w:abstractNumId w:val="9"/>
  </w:num>
  <w:num w:numId="15">
    <w:abstractNumId w:val="29"/>
  </w:num>
  <w:num w:numId="16">
    <w:abstractNumId w:val="32"/>
  </w:num>
  <w:num w:numId="17">
    <w:abstractNumId w:val="11"/>
  </w:num>
  <w:num w:numId="18">
    <w:abstractNumId w:val="43"/>
  </w:num>
  <w:num w:numId="19">
    <w:abstractNumId w:val="30"/>
  </w:num>
  <w:num w:numId="20">
    <w:abstractNumId w:val="33"/>
  </w:num>
  <w:num w:numId="21">
    <w:abstractNumId w:val="10"/>
  </w:num>
  <w:num w:numId="22">
    <w:abstractNumId w:val="40"/>
  </w:num>
  <w:num w:numId="23">
    <w:abstractNumId w:val="38"/>
  </w:num>
  <w:num w:numId="24">
    <w:abstractNumId w:val="23"/>
  </w:num>
  <w:num w:numId="25">
    <w:abstractNumId w:val="0"/>
  </w:num>
  <w:num w:numId="26">
    <w:abstractNumId w:val="4"/>
  </w:num>
  <w:num w:numId="27">
    <w:abstractNumId w:val="37"/>
  </w:num>
  <w:num w:numId="28">
    <w:abstractNumId w:val="24"/>
  </w:num>
  <w:num w:numId="29">
    <w:abstractNumId w:val="21"/>
  </w:num>
  <w:num w:numId="30">
    <w:abstractNumId w:val="31"/>
  </w:num>
  <w:num w:numId="31">
    <w:abstractNumId w:val="14"/>
  </w:num>
  <w:num w:numId="32">
    <w:abstractNumId w:val="44"/>
  </w:num>
  <w:num w:numId="33">
    <w:abstractNumId w:val="18"/>
  </w:num>
  <w:num w:numId="34">
    <w:abstractNumId w:val="28"/>
  </w:num>
  <w:num w:numId="35">
    <w:abstractNumId w:val="39"/>
  </w:num>
  <w:num w:numId="36">
    <w:abstractNumId w:val="27"/>
  </w:num>
  <w:num w:numId="37">
    <w:abstractNumId w:val="41"/>
  </w:num>
  <w:num w:numId="38">
    <w:abstractNumId w:val="20"/>
  </w:num>
  <w:num w:numId="39">
    <w:abstractNumId w:val="5"/>
  </w:num>
  <w:num w:numId="40">
    <w:abstractNumId w:val="8"/>
  </w:num>
  <w:num w:numId="41">
    <w:abstractNumId w:val="36"/>
  </w:num>
  <w:num w:numId="42">
    <w:abstractNumId w:val="26"/>
  </w:num>
  <w:num w:numId="43">
    <w:abstractNumId w:val="1"/>
  </w:num>
  <w:num w:numId="44">
    <w:abstractNumId w:val="15"/>
  </w:num>
  <w:num w:numId="45">
    <w:abstractNumId w:val="3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62"/>
    <w:rsid w:val="000162B2"/>
    <w:rsid w:val="000164DE"/>
    <w:rsid w:val="00016B4C"/>
    <w:rsid w:val="00017013"/>
    <w:rsid w:val="00017047"/>
    <w:rsid w:val="00017CBD"/>
    <w:rsid w:val="000205C1"/>
    <w:rsid w:val="00020AC8"/>
    <w:rsid w:val="00020D61"/>
    <w:rsid w:val="0002130A"/>
    <w:rsid w:val="00021DEC"/>
    <w:rsid w:val="000222F7"/>
    <w:rsid w:val="000235D7"/>
    <w:rsid w:val="00023C29"/>
    <w:rsid w:val="00023FEE"/>
    <w:rsid w:val="00024420"/>
    <w:rsid w:val="000248E7"/>
    <w:rsid w:val="000254DC"/>
    <w:rsid w:val="000255A1"/>
    <w:rsid w:val="000259FF"/>
    <w:rsid w:val="00025C61"/>
    <w:rsid w:val="000266AE"/>
    <w:rsid w:val="00026905"/>
    <w:rsid w:val="000300FE"/>
    <w:rsid w:val="00030EDE"/>
    <w:rsid w:val="00030F08"/>
    <w:rsid w:val="00030F74"/>
    <w:rsid w:val="000319C1"/>
    <w:rsid w:val="00031EDD"/>
    <w:rsid w:val="00032E45"/>
    <w:rsid w:val="00033796"/>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C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098"/>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18BF"/>
    <w:rsid w:val="00123993"/>
    <w:rsid w:val="0012467D"/>
    <w:rsid w:val="00124A01"/>
    <w:rsid w:val="00124D4C"/>
    <w:rsid w:val="00125039"/>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4BBA"/>
    <w:rsid w:val="0013521B"/>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6E79"/>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67ECA"/>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B03"/>
    <w:rsid w:val="002D0657"/>
    <w:rsid w:val="002D08DC"/>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058E"/>
    <w:rsid w:val="00311941"/>
    <w:rsid w:val="003123EA"/>
    <w:rsid w:val="003125FA"/>
    <w:rsid w:val="00313C4F"/>
    <w:rsid w:val="00314280"/>
    <w:rsid w:val="003158FE"/>
    <w:rsid w:val="00315DD9"/>
    <w:rsid w:val="00316717"/>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E84"/>
    <w:rsid w:val="003444EB"/>
    <w:rsid w:val="00344778"/>
    <w:rsid w:val="00344F78"/>
    <w:rsid w:val="0034511B"/>
    <w:rsid w:val="00345740"/>
    <w:rsid w:val="0034617A"/>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5872"/>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5D01"/>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6B8"/>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89B"/>
    <w:rsid w:val="00406F4B"/>
    <w:rsid w:val="004073B0"/>
    <w:rsid w:val="0041093B"/>
    <w:rsid w:val="00410BEC"/>
    <w:rsid w:val="004111BE"/>
    <w:rsid w:val="004127B4"/>
    <w:rsid w:val="00412A92"/>
    <w:rsid w:val="004132DA"/>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4EF7"/>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5B39"/>
    <w:rsid w:val="00456114"/>
    <w:rsid w:val="004562F8"/>
    <w:rsid w:val="00456971"/>
    <w:rsid w:val="0045742D"/>
    <w:rsid w:val="004574AB"/>
    <w:rsid w:val="0046027A"/>
    <w:rsid w:val="004607CD"/>
    <w:rsid w:val="004608A9"/>
    <w:rsid w:val="00460958"/>
    <w:rsid w:val="0046110A"/>
    <w:rsid w:val="004612C8"/>
    <w:rsid w:val="004616E5"/>
    <w:rsid w:val="0046194F"/>
    <w:rsid w:val="00461B3E"/>
    <w:rsid w:val="00461E80"/>
    <w:rsid w:val="00462420"/>
    <w:rsid w:val="00463146"/>
    <w:rsid w:val="0046391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D7316"/>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4B3D"/>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7FA"/>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7342"/>
    <w:rsid w:val="005E7698"/>
    <w:rsid w:val="005E77D7"/>
    <w:rsid w:val="005E7CAF"/>
    <w:rsid w:val="005F0931"/>
    <w:rsid w:val="005F0C46"/>
    <w:rsid w:val="005F1FE4"/>
    <w:rsid w:val="005F2AF8"/>
    <w:rsid w:val="005F3154"/>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5A9"/>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10C0"/>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4AC9"/>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1EC"/>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6FD4"/>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3D17"/>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0A5F"/>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759"/>
    <w:rsid w:val="0082081A"/>
    <w:rsid w:val="00820B06"/>
    <w:rsid w:val="00820E25"/>
    <w:rsid w:val="00821167"/>
    <w:rsid w:val="00821737"/>
    <w:rsid w:val="00821B0B"/>
    <w:rsid w:val="00821D40"/>
    <w:rsid w:val="008237B2"/>
    <w:rsid w:val="008245B7"/>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4E90"/>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49CC"/>
    <w:rsid w:val="0089549F"/>
    <w:rsid w:val="008954B3"/>
    <w:rsid w:val="008958EF"/>
    <w:rsid w:val="008959F1"/>
    <w:rsid w:val="00895F27"/>
    <w:rsid w:val="008970B5"/>
    <w:rsid w:val="008971D9"/>
    <w:rsid w:val="008A0473"/>
    <w:rsid w:val="008A16AE"/>
    <w:rsid w:val="008A24BD"/>
    <w:rsid w:val="008A2593"/>
    <w:rsid w:val="008A2B4D"/>
    <w:rsid w:val="008A36ED"/>
    <w:rsid w:val="008A41D1"/>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C6B"/>
    <w:rsid w:val="008D6F90"/>
    <w:rsid w:val="008D7615"/>
    <w:rsid w:val="008D76A0"/>
    <w:rsid w:val="008E0E8C"/>
    <w:rsid w:val="008E16C5"/>
    <w:rsid w:val="008E2051"/>
    <w:rsid w:val="008E2525"/>
    <w:rsid w:val="008E356A"/>
    <w:rsid w:val="008E3BCB"/>
    <w:rsid w:val="008E3BEB"/>
    <w:rsid w:val="008E40BD"/>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16DBA"/>
    <w:rsid w:val="00920BC8"/>
    <w:rsid w:val="00921169"/>
    <w:rsid w:val="0092160E"/>
    <w:rsid w:val="00921851"/>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086"/>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6B0"/>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1F"/>
    <w:rsid w:val="00A46FAD"/>
    <w:rsid w:val="00A472DB"/>
    <w:rsid w:val="00A473E1"/>
    <w:rsid w:val="00A5044D"/>
    <w:rsid w:val="00A50B00"/>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213"/>
    <w:rsid w:val="00A83430"/>
    <w:rsid w:val="00A8389D"/>
    <w:rsid w:val="00A83BF1"/>
    <w:rsid w:val="00A84298"/>
    <w:rsid w:val="00A842D6"/>
    <w:rsid w:val="00A844C6"/>
    <w:rsid w:val="00A8523D"/>
    <w:rsid w:val="00A853A6"/>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1DAA"/>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AFC"/>
    <w:rsid w:val="00AF2BDA"/>
    <w:rsid w:val="00AF2DE9"/>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5956"/>
    <w:rsid w:val="00B65E54"/>
    <w:rsid w:val="00B660A0"/>
    <w:rsid w:val="00B67D22"/>
    <w:rsid w:val="00B70068"/>
    <w:rsid w:val="00B701B4"/>
    <w:rsid w:val="00B70288"/>
    <w:rsid w:val="00B7049B"/>
    <w:rsid w:val="00B70EDB"/>
    <w:rsid w:val="00B71A5D"/>
    <w:rsid w:val="00B71F17"/>
    <w:rsid w:val="00B72444"/>
    <w:rsid w:val="00B725A3"/>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988"/>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5D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E7524"/>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523D"/>
    <w:rsid w:val="00E65967"/>
    <w:rsid w:val="00E65EF0"/>
    <w:rsid w:val="00E668E2"/>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5CC"/>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4319"/>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398"/>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932"/>
    <w:rsid w:val="00F04CF6"/>
    <w:rsid w:val="00F04ED5"/>
    <w:rsid w:val="00F05BA0"/>
    <w:rsid w:val="00F05EED"/>
    <w:rsid w:val="00F062B0"/>
    <w:rsid w:val="00F06F02"/>
    <w:rsid w:val="00F077C0"/>
    <w:rsid w:val="00F0783A"/>
    <w:rsid w:val="00F07C4E"/>
    <w:rsid w:val="00F11C49"/>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4FC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Normal"/>
    <w:link w:val="bulletChar"/>
    <w:qFormat/>
    <w:rsid w:val="00916DBA"/>
    <w:pPr>
      <w:numPr>
        <w:numId w:val="31"/>
      </w:numPr>
      <w:overflowPunct/>
      <w:autoSpaceDE/>
      <w:autoSpaceDN/>
      <w:adjustRightInd/>
      <w:spacing w:after="0"/>
      <w:textAlignment w:val="auto"/>
    </w:pPr>
    <w:rPr>
      <w:rFonts w:eastAsia="MS Mincho" w:cs="Arial"/>
      <w:szCs w:val="16"/>
      <w:lang w:eastAsia="ja-JP"/>
    </w:rPr>
  </w:style>
  <w:style w:type="character" w:customStyle="1" w:styleId="bulletChar">
    <w:name w:val="bullet Char"/>
    <w:basedOn w:val="B10"/>
    <w:link w:val="bullet"/>
    <w:rsid w:val="00916DBA"/>
    <w:rPr>
      <w:rFonts w:ascii="Times New Roman" w:eastAsia="MS Mincho" w:hAnsi="Times New Roman" w:cs="Arial"/>
      <w:szCs w:val="16"/>
      <w:lang w:eastAsia="ja-JP"/>
    </w:rPr>
  </w:style>
  <w:style w:type="character" w:customStyle="1" w:styleId="ListParagraphChar">
    <w:name w:val="List Paragraph Char"/>
    <w:link w:val="ListParagraph"/>
    <w:uiPriority w:val="34"/>
    <w:rsid w:val="00916DBA"/>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HR33RHYHUWRF-4-2111</_dlc_DocId>
    <_dlc_DocIdUrl xmlns="c06861ca-3f08-4d07-bff7-bb15bac121f4">
      <Url>https://projects.qualcomm.com/sites/pentari/_layouts/15/DocIdRedir.aspx?ID=HR33RHYHUWRF-4-2111</Url>
      <Description>HR33RHYHUWRF-4-2111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3.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4.xml><?xml version="1.0" encoding="utf-8"?>
<ds:datastoreItem xmlns:ds="http://schemas.openxmlformats.org/officeDocument/2006/customXml" ds:itemID="{5E45D529-5E1D-4284-8B80-40D45C2BFB73}">
  <ds:schemaRefs>
    <ds:schemaRef ds:uri="http://purl.org/dc/dcmitype/"/>
    <ds:schemaRef ds:uri="http://schemas.microsoft.com/office/2006/documentManagement/types"/>
    <ds:schemaRef ds:uri="c06861ca-3f08-4d07-bff7-bb15bac121f4"/>
    <ds:schemaRef ds:uri="http://schemas.microsoft.com/office/2006/metadata/properties"/>
    <ds:schemaRef ds:uri="http://purl.org/dc/terms/"/>
    <ds:schemaRef ds:uri="http://purl.org/dc/elements/1.1/"/>
    <ds:schemaRef ds:uri="http://schemas.microsoft.com/office/infopath/2007/PartnerControls"/>
    <ds:schemaRef ds:uri="http://www.w3.org/XML/1998/namespace"/>
    <ds:schemaRef ds:uri="http://schemas.openxmlformats.org/package/2006/metadata/core-properties"/>
  </ds:schemaRefs>
</ds:datastoreItem>
</file>

<file path=customXml/itemProps5.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6.xml><?xml version="1.0" encoding="utf-8"?>
<ds:datastoreItem xmlns:ds="http://schemas.openxmlformats.org/officeDocument/2006/customXml" ds:itemID="{AC8B1A99-A634-4074-A583-D6CCB106D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1009</TotalTime>
  <Pages>3</Pages>
  <Words>1076</Words>
  <Characters>5425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6489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 resource set and search space</dc:title>
  <dc:subject/>
  <dc:creator>Qualcomm Europe</dc:creator>
  <cp:keywords/>
  <cp:lastModifiedBy>Heechoon Lee</cp:lastModifiedBy>
  <cp:revision>17</cp:revision>
  <cp:lastPrinted>2010-10-04T23:31:00Z</cp:lastPrinted>
  <dcterms:created xsi:type="dcterms:W3CDTF">2017-02-03T05:40:00Z</dcterms:created>
  <dcterms:modified xsi:type="dcterms:W3CDTF">2017-03-25T03:04:00Z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78aa5a67-4b2a-4d0c-88cb-32a63647ec44</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